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772" w:rsidRDefault="00510772" w:rsidP="008A7E20">
      <w:pPr>
        <w:jc w:val="center"/>
        <w:rPr>
          <w:rStyle w:val="fontstyle01"/>
        </w:rPr>
      </w:pPr>
      <w:r>
        <w:rPr>
          <w:rStyle w:val="fontstyle01"/>
        </w:rPr>
        <w:t xml:space="preserve">Kết quả thực hiện công tác CCHC trong </w:t>
      </w:r>
      <w:r w:rsidR="008A7E20">
        <w:rPr>
          <w:rStyle w:val="fontstyle01"/>
        </w:rPr>
        <w:t>tháng 4</w:t>
      </w:r>
      <w:r>
        <w:rPr>
          <w:rStyle w:val="fontstyle01"/>
        </w:rPr>
        <w:t>/2025</w:t>
      </w:r>
    </w:p>
    <w:p w:rsidR="00510772" w:rsidRDefault="00510772" w:rsidP="00D60A0B">
      <w:pPr>
        <w:spacing w:before="120" w:after="0" w:line="240" w:lineRule="auto"/>
        <w:ind w:firstLine="720"/>
        <w:jc w:val="both"/>
        <w:rPr>
          <w:rStyle w:val="fontstyle21"/>
        </w:rPr>
      </w:pPr>
      <w:r>
        <w:rPr>
          <w:rStyle w:val="fontstyle21"/>
        </w:rPr>
        <w:t xml:space="preserve">Trong </w:t>
      </w:r>
      <w:r w:rsidR="008A7E20">
        <w:rPr>
          <w:rStyle w:val="fontstyle21"/>
        </w:rPr>
        <w:t>tháng</w:t>
      </w:r>
      <w:r>
        <w:rPr>
          <w:rStyle w:val="fontstyle21"/>
        </w:rPr>
        <w:t xml:space="preserve"> </w:t>
      </w:r>
      <w:r w:rsidR="008A7E20">
        <w:rPr>
          <w:rStyle w:val="fontstyle21"/>
        </w:rPr>
        <w:t>4</w:t>
      </w:r>
      <w:r>
        <w:rPr>
          <w:rStyle w:val="fontstyle21"/>
        </w:rPr>
        <w:t xml:space="preserve">/2025, công tác CCHC của </w:t>
      </w:r>
      <w:r w:rsidR="008A7E20">
        <w:rPr>
          <w:rStyle w:val="fontstyle21"/>
        </w:rPr>
        <w:t>huyện</w:t>
      </w:r>
      <w:r>
        <w:rPr>
          <w:rStyle w:val="fontstyle21"/>
        </w:rPr>
        <w:t xml:space="preserve"> đạt được một số kết quả tích cực, nâng cao hiệu lực, hiệu quả hoạt động các cơ quan, đơn vị sau sắp xếp, cố gắng phục vụ tốt nhất cho người dân và doanh nghiệp. Một số kết quả nổi bật như sau:</w:t>
      </w:r>
    </w:p>
    <w:p w:rsidR="00D60A0B" w:rsidRPr="00D60A0B" w:rsidRDefault="00D60A0B" w:rsidP="00D60A0B">
      <w:pPr>
        <w:widowControl w:val="0"/>
        <w:spacing w:before="120" w:after="0" w:line="240" w:lineRule="auto"/>
        <w:ind w:left="20" w:right="20" w:firstLine="700"/>
        <w:jc w:val="both"/>
        <w:rPr>
          <w:rFonts w:ascii="Times New Roman" w:eastAsia="Courier New" w:hAnsi="Times New Roman" w:cs="Times New Roman"/>
          <w:sz w:val="28"/>
          <w:szCs w:val="28"/>
          <w:shd w:val="clear" w:color="auto" w:fill="FFFFFF"/>
          <w:lang w:eastAsia="vi-VN" w:bidi="yi-Hebr"/>
        </w:rPr>
      </w:pPr>
      <w:r>
        <w:rPr>
          <w:rFonts w:ascii="Times New Roman" w:eastAsia="Courier New" w:hAnsi="Times New Roman" w:cs="Times New Roman"/>
          <w:sz w:val="28"/>
          <w:szCs w:val="28"/>
          <w:shd w:val="clear" w:color="auto" w:fill="FFFFFF"/>
          <w:lang w:eastAsia="vi-VN" w:bidi="yi-Hebr"/>
        </w:rPr>
        <w:t>-</w:t>
      </w:r>
      <w:r w:rsidRPr="00D60A0B">
        <w:rPr>
          <w:rFonts w:ascii="Times New Roman" w:eastAsia="Courier New" w:hAnsi="Times New Roman" w:cs="Times New Roman"/>
          <w:sz w:val="28"/>
          <w:szCs w:val="28"/>
          <w:shd w:val="clear" w:color="auto" w:fill="FFFFFF"/>
          <w:lang w:eastAsia="vi-VN" w:bidi="yi-Hebr"/>
        </w:rPr>
        <w:t xml:space="preserve"> </w:t>
      </w:r>
      <w:r w:rsidRPr="00D60A0B">
        <w:rPr>
          <w:rFonts w:ascii="Times New Roman" w:eastAsia="Courier New" w:hAnsi="Times New Roman" w:cs="Times New Roman"/>
          <w:sz w:val="28"/>
          <w:szCs w:val="28"/>
          <w:shd w:val="clear" w:color="auto" w:fill="FFFFFF"/>
          <w:lang w:val="vi-VN" w:eastAsia="vi-VN" w:bidi="yi-Hebr"/>
        </w:rPr>
        <w:t xml:space="preserve">Trong tháng, </w:t>
      </w:r>
      <w:r w:rsidRPr="00D60A0B">
        <w:rPr>
          <w:rFonts w:ascii="Times New Roman" w:eastAsia="Courier New" w:hAnsi="Times New Roman" w:cs="Times New Roman"/>
          <w:sz w:val="28"/>
          <w:szCs w:val="28"/>
          <w:shd w:val="clear" w:color="auto" w:fill="FFFFFF"/>
          <w:lang w:eastAsia="vi-VN" w:bidi="yi-Hebr"/>
        </w:rPr>
        <w:t>trên cơ sở các văn bản chỉ đạo của UBND tỉnh, Sở Nội vụ, UBND huyện ban hành 03 văn bản chỉ đạo, điều hành công tác CCHC</w:t>
      </w:r>
      <w:r w:rsidRPr="00D60A0B">
        <w:rPr>
          <w:rFonts w:ascii="Times New Roman" w:eastAsia="Courier New" w:hAnsi="Times New Roman" w:cs="Times New Roman"/>
          <w:sz w:val="28"/>
          <w:szCs w:val="28"/>
          <w:shd w:val="clear" w:color="auto" w:fill="FFFFFF"/>
          <w:vertAlign w:val="superscript"/>
          <w:lang w:eastAsia="vi-VN" w:bidi="yi-Hebr"/>
        </w:rPr>
        <w:footnoteReference w:id="1"/>
      </w:r>
      <w:r w:rsidRPr="00D60A0B">
        <w:rPr>
          <w:rFonts w:ascii="Times New Roman" w:eastAsia="Courier New" w:hAnsi="Times New Roman" w:cs="Times New Roman"/>
          <w:sz w:val="28"/>
          <w:szCs w:val="28"/>
          <w:shd w:val="clear" w:color="auto" w:fill="FFFFFF"/>
          <w:lang w:eastAsia="vi-VN" w:bidi="yi-Hebr"/>
        </w:rPr>
        <w:t>.</w:t>
      </w:r>
    </w:p>
    <w:p w:rsidR="00D60A0B" w:rsidRPr="00D60A0B" w:rsidRDefault="00D60A0B" w:rsidP="00D60A0B">
      <w:pPr>
        <w:spacing w:before="120" w:after="0" w:line="240" w:lineRule="auto"/>
        <w:ind w:firstLine="720"/>
        <w:jc w:val="both"/>
        <w:rPr>
          <w:rStyle w:val="fontstyle21"/>
          <w:color w:val="auto"/>
        </w:rPr>
      </w:pPr>
      <w:r>
        <w:rPr>
          <w:rFonts w:ascii="Times New Roman" w:eastAsia="Courier New" w:hAnsi="Times New Roman" w:cs="Times New Roman"/>
          <w:sz w:val="28"/>
          <w:szCs w:val="28"/>
          <w:shd w:val="clear" w:color="auto" w:fill="FFFFFF"/>
          <w:lang w:eastAsia="vi-VN" w:bidi="yi-Hebr"/>
        </w:rPr>
        <w:t>-</w:t>
      </w:r>
      <w:r w:rsidRPr="00D60A0B">
        <w:rPr>
          <w:rFonts w:ascii="Times New Roman" w:eastAsia="Courier New" w:hAnsi="Times New Roman" w:cs="Times New Roman"/>
          <w:sz w:val="28"/>
          <w:szCs w:val="28"/>
          <w:shd w:val="clear" w:color="auto" w:fill="FFFFFF"/>
          <w:lang w:eastAsia="vi-VN" w:bidi="yi-Hebr"/>
        </w:rPr>
        <w:t xml:space="preserve"> Kết quả thực hiện Kế hoạch số 06/KH-UBND ngày 09/01/2025: Đến tháng 4/2025, có 17/47 nhiệm vụ hoàn thành và đang triển khai thực hiện thường xuyên liên tục, đạt tỷ lệ 36,17%; 30 nhiệm vụ chưa đến hạn hoàn thành</w:t>
      </w:r>
      <w:r>
        <w:rPr>
          <w:rFonts w:ascii="Times New Roman" w:eastAsia="Courier New" w:hAnsi="Times New Roman" w:cs="Times New Roman"/>
          <w:sz w:val="28"/>
          <w:szCs w:val="28"/>
          <w:shd w:val="clear" w:color="auto" w:fill="FFFFFF"/>
          <w:lang w:eastAsia="vi-VN" w:bidi="yi-Hebr"/>
        </w:rPr>
        <w:t>.</w:t>
      </w:r>
    </w:p>
    <w:p w:rsidR="008A7E20" w:rsidRDefault="00510772" w:rsidP="00D60A0B">
      <w:pPr>
        <w:spacing w:before="120" w:after="0" w:line="240" w:lineRule="auto"/>
        <w:ind w:firstLine="720"/>
        <w:jc w:val="both"/>
        <w:rPr>
          <w:rStyle w:val="fontstyle21"/>
        </w:rPr>
      </w:pPr>
      <w:r>
        <w:rPr>
          <w:rStyle w:val="fontstyle21"/>
        </w:rPr>
        <w:t xml:space="preserve">- Việc giải quyết hồ sơ thủ tục hành chính tiếp tục được quan tâm, kịp thời tháo gỡ các vướng mắc phát sinh do sắp xếp; tỷ lệ giải quyết TTHC đúng hạn </w:t>
      </w:r>
      <w:r w:rsidR="008A7E20">
        <w:rPr>
          <w:rStyle w:val="fontstyle21"/>
        </w:rPr>
        <w:t>đạt 100</w:t>
      </w:r>
      <w:r>
        <w:rPr>
          <w:rStyle w:val="fontstyle21"/>
        </w:rPr>
        <w:t xml:space="preserve">%, </w:t>
      </w:r>
      <w:r w:rsidR="008A7E20">
        <w:rPr>
          <w:rStyle w:val="fontstyle21"/>
        </w:rPr>
        <w:t>mức độ</w:t>
      </w:r>
      <w:r w:rsidR="00506EDD">
        <w:rPr>
          <w:rStyle w:val="fontstyle21"/>
        </w:rPr>
        <w:t xml:space="preserve"> hài lòng trong</w:t>
      </w:r>
      <w:r w:rsidR="008A7E20">
        <w:rPr>
          <w:rStyle w:val="fontstyle21"/>
        </w:rPr>
        <w:t xml:space="preserve"> giải quyết TTHC đạt 100%.</w:t>
      </w:r>
    </w:p>
    <w:p w:rsidR="00D60A0B" w:rsidRDefault="00D60A0B" w:rsidP="00D60A0B">
      <w:pPr>
        <w:spacing w:before="120" w:after="0" w:line="240" w:lineRule="auto"/>
        <w:ind w:firstLine="720"/>
        <w:jc w:val="both"/>
        <w:rPr>
          <w:rStyle w:val="fontstyle21"/>
        </w:rPr>
      </w:pPr>
      <w:r>
        <w:rPr>
          <w:rStyle w:val="fontstyle21"/>
        </w:rPr>
        <w:t xml:space="preserve">- Chứng thực bản sao điện tử từ bản chính của huyện đạt 443/443 hồ sơ, đạt tỷ lệ 100%. </w:t>
      </w:r>
    </w:p>
    <w:p w:rsidR="009F3EDC" w:rsidRDefault="009F3EDC" w:rsidP="009F3EDC">
      <w:pPr>
        <w:spacing w:before="120" w:after="0" w:line="240" w:lineRule="auto"/>
        <w:ind w:firstLine="720"/>
        <w:jc w:val="both"/>
        <w:rPr>
          <w:rStyle w:val="fontstyle21"/>
        </w:rPr>
      </w:pPr>
      <w:r>
        <w:rPr>
          <w:rStyle w:val="fontstyle21"/>
        </w:rPr>
        <w:t xml:space="preserve">- </w:t>
      </w:r>
      <w:r w:rsidR="00721111">
        <w:rPr>
          <w:rStyle w:val="fontstyle21"/>
        </w:rPr>
        <w:t>C</w:t>
      </w:r>
      <w:r>
        <w:rPr>
          <w:rStyle w:val="fontstyle21"/>
        </w:rPr>
        <w:t>ác cơ quan, đơn vị sau sắp xếp ổn định và đi vào hoạt động ngay, không để gián đoạn; kịp thời thực hiện nhiệm vụ được giao và đáp ứng yêu cầu của người dân, doanh nghiệp trên địa bàn huyện.</w:t>
      </w:r>
    </w:p>
    <w:p w:rsidR="00167369" w:rsidRDefault="009F3EDC" w:rsidP="00D60A0B">
      <w:pPr>
        <w:spacing w:before="120" w:after="0" w:line="240" w:lineRule="auto"/>
        <w:ind w:firstLine="720"/>
        <w:jc w:val="both"/>
        <w:rPr>
          <w:rFonts w:ascii="Times New Roman" w:eastAsia="Times New Roman" w:hAnsi="Times New Roman" w:cs="Times New Roman"/>
          <w:sz w:val="28"/>
          <w:szCs w:val="24"/>
        </w:rPr>
      </w:pPr>
      <w:r>
        <w:rPr>
          <w:rStyle w:val="fontstyle21"/>
        </w:rPr>
        <w:t xml:space="preserve">- </w:t>
      </w:r>
      <w:r w:rsidR="00167369">
        <w:rPr>
          <w:rStyle w:val="fontstyle21"/>
        </w:rPr>
        <w:t xml:space="preserve">Tổ chức lấy ý kiến Nhân dân và kết quả biểu quyết đại biểu HĐND cấp xã, cấp huyện trên địa bàn huyện về chủ trương về sắp xếp các tỉnh Đắk Lắk và Phú Yên; </w:t>
      </w:r>
      <w:r w:rsidR="00167369" w:rsidRPr="00167369">
        <w:rPr>
          <w:rFonts w:ascii="Times New Roman" w:eastAsia="Times New Roman" w:hAnsi="Times New Roman" w:cs="Times New Roman"/>
          <w:sz w:val="28"/>
          <w:szCs w:val="24"/>
        </w:rPr>
        <w:t>chủ trương sắp xếp đơn vị</w:t>
      </w:r>
      <w:r w:rsidR="00167369" w:rsidRPr="00167369">
        <w:rPr>
          <w:rFonts w:ascii="Times New Roman" w:eastAsia="Times New Roman" w:hAnsi="Times New Roman" w:cs="Times New Roman"/>
          <w:sz w:val="28"/>
          <w:szCs w:val="24"/>
          <w:lang w:val="vi-VN"/>
        </w:rPr>
        <w:t xml:space="preserve"> </w:t>
      </w:r>
      <w:r w:rsidR="00167369" w:rsidRPr="00167369">
        <w:rPr>
          <w:rFonts w:ascii="Times New Roman" w:eastAsia="Times New Roman" w:hAnsi="Times New Roman" w:cs="Times New Roman"/>
          <w:sz w:val="28"/>
          <w:szCs w:val="24"/>
        </w:rPr>
        <w:t>hành chính cấp xã của</w:t>
      </w:r>
      <w:r w:rsidR="00167369" w:rsidRPr="00167369">
        <w:rPr>
          <w:rFonts w:ascii="Times New Roman" w:eastAsia="Times New Roman" w:hAnsi="Times New Roman" w:cs="Times New Roman"/>
          <w:sz w:val="28"/>
          <w:szCs w:val="24"/>
          <w:vertAlign w:val="superscript"/>
          <w:lang w:val="vi-VN"/>
        </w:rPr>
        <w:t xml:space="preserve"> </w:t>
      </w:r>
      <w:r w:rsidR="00167369" w:rsidRPr="00167369">
        <w:rPr>
          <w:rFonts w:ascii="Times New Roman" w:eastAsia="Times New Roman" w:hAnsi="Times New Roman" w:cs="Times New Roman"/>
          <w:sz w:val="28"/>
          <w:szCs w:val="24"/>
          <w:lang w:val="vi-VN"/>
        </w:rPr>
        <w:t>huyện Phú Hòa</w:t>
      </w:r>
      <w:r w:rsidR="00167369">
        <w:rPr>
          <w:rFonts w:ascii="Times New Roman" w:eastAsia="Times New Roman" w:hAnsi="Times New Roman" w:cs="Times New Roman"/>
          <w:sz w:val="28"/>
          <w:szCs w:val="24"/>
        </w:rPr>
        <w:t>.</w:t>
      </w:r>
    </w:p>
    <w:p w:rsidR="009F3EDC" w:rsidRDefault="009F3EDC" w:rsidP="009F3EDC">
      <w:pPr>
        <w:spacing w:before="120" w:after="0" w:line="240" w:lineRule="auto"/>
        <w:ind w:firstLine="720"/>
        <w:jc w:val="both"/>
        <w:rPr>
          <w:rFonts w:ascii="Times New Roman" w:eastAsia="Calibri" w:hAnsi="Times New Roman" w:cs="Times New Roman"/>
          <w:spacing w:val="-4"/>
          <w:sz w:val="28"/>
        </w:rPr>
      </w:pPr>
      <w:r w:rsidRPr="009F3EDC">
        <w:rPr>
          <w:rFonts w:ascii="Times New Roman" w:eastAsia="Calibri" w:hAnsi="Times New Roman" w:cs="Times New Roman"/>
          <w:spacing w:val="-4"/>
          <w:sz w:val="28"/>
        </w:rPr>
        <w:t>- Tiến độ, kết quả thực hiện dự toán thu - chi ngân sách nhà nước theo Kế hoạch được giao lũy kế đến ngày 30/04/2025: Tổng thu NSNN trên địa bàn là 62.239 triệu đồng, đạt 30,7% dự toán tỉnh giao, 22,2% dự toán huyện giao, giảm 27,9% so với cùng kỳ năm trước. Tổng chi NSĐP là 259.002 triệu đồng, đạt 37,6% dự toán tỉnh giao, đạt 33,8% dự toán huyện giao, tăng 40,2% so với cùng kỳ.</w:t>
      </w:r>
    </w:p>
    <w:p w:rsidR="00721111" w:rsidRPr="00721111" w:rsidRDefault="00721111" w:rsidP="00721111">
      <w:pPr>
        <w:spacing w:before="120" w:after="0" w:line="240" w:lineRule="auto"/>
        <w:ind w:firstLine="720"/>
        <w:jc w:val="both"/>
        <w:rPr>
          <w:rStyle w:val="fontstyle21"/>
          <w:rFonts w:eastAsia="Calibri"/>
          <w:color w:val="auto"/>
          <w:szCs w:val="22"/>
        </w:rPr>
      </w:pPr>
      <w:r w:rsidRPr="009F3EDC">
        <w:rPr>
          <w:rFonts w:ascii="Times New Roman" w:eastAsia="Calibri" w:hAnsi="Times New Roman" w:cs="Times New Roman"/>
          <w:sz w:val="28"/>
        </w:rPr>
        <w:t xml:space="preserve">- Tính đến ngày 28/4/2025, giá trị giải ngân kế hoạch vốn đầu tư công năm 2025 là 17.525/315.975 triệu đồng, đạt 5,55% kế hoạch. </w:t>
      </w:r>
    </w:p>
    <w:p w:rsidR="00721111" w:rsidRDefault="00721111" w:rsidP="009F3EDC">
      <w:pPr>
        <w:spacing w:before="120" w:after="0" w:line="240" w:lineRule="auto"/>
        <w:ind w:firstLine="720"/>
        <w:jc w:val="both"/>
        <w:rPr>
          <w:rFonts w:ascii="Times New Roman" w:eastAsia="Calibri" w:hAnsi="Times New Roman" w:cs="Times New Roman"/>
          <w:spacing w:val="-4"/>
          <w:sz w:val="28"/>
        </w:rPr>
      </w:pPr>
    </w:p>
    <w:p w:rsidR="009F3EDC" w:rsidRPr="009F3EDC" w:rsidRDefault="009F3EDC" w:rsidP="009F3EDC">
      <w:pPr>
        <w:spacing w:after="6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pacing w:val="-6"/>
          <w:sz w:val="28"/>
          <w:szCs w:val="28"/>
        </w:rPr>
        <w:lastRenderedPageBreak/>
        <w:t xml:space="preserve">- </w:t>
      </w:r>
      <w:r w:rsidRPr="009F3EDC">
        <w:rPr>
          <w:rFonts w:ascii="Times New Roman" w:eastAsia="Calibri" w:hAnsi="Times New Roman" w:cs="Times New Roman"/>
          <w:spacing w:val="-6"/>
          <w:sz w:val="28"/>
          <w:szCs w:val="28"/>
        </w:rPr>
        <w:t xml:space="preserve">Kết quả triển khai </w:t>
      </w:r>
      <w:r w:rsidRPr="009F3EDC">
        <w:rPr>
          <w:rFonts w:ascii="Times New Roman" w:eastAsia="Calibri" w:hAnsi="Times New Roman" w:cs="Times New Roman"/>
          <w:sz w:val="28"/>
          <w:szCs w:val="28"/>
        </w:rPr>
        <w:t xml:space="preserve">Nghị định số 178/2024/NĐ-CP, ngày 31/12/2024 và </w:t>
      </w:r>
      <w:r w:rsidRPr="009F3EDC">
        <w:rPr>
          <w:rFonts w:ascii="Times New Roman" w:eastAsia="Times New Roman" w:hAnsi="Times New Roman" w:cs="Times New Roman"/>
          <w:sz w:val="28"/>
          <w:szCs w:val="28"/>
          <w:lang w:val="en-SG" w:eastAsia="en-SG"/>
        </w:rPr>
        <w:t>Nghị định 67/2025/NĐ-CP ngày ngày 15/3/2025 của Chính phủ</w:t>
      </w:r>
      <w:r w:rsidRPr="009F3EDC">
        <w:rPr>
          <w:rFonts w:ascii="Times New Roman" w:eastAsia="Calibri" w:hAnsi="Times New Roman" w:cs="Times New Roman"/>
          <w:sz w:val="28"/>
          <w:szCs w:val="28"/>
        </w:rPr>
        <w:t xml:space="preserve">: </w:t>
      </w:r>
      <w:r w:rsidR="00721111">
        <w:rPr>
          <w:rFonts w:ascii="Times New Roman" w:eastAsia="Calibri" w:hAnsi="Times New Roman" w:cs="Times New Roman"/>
          <w:sz w:val="28"/>
          <w:szCs w:val="28"/>
        </w:rPr>
        <w:t>Hoàn</w:t>
      </w:r>
      <w:r w:rsidRPr="009F3EDC">
        <w:rPr>
          <w:rFonts w:ascii="Times New Roman" w:eastAsia="Calibri" w:hAnsi="Times New Roman" w:cs="Times New Roman"/>
          <w:sz w:val="28"/>
          <w:szCs w:val="28"/>
        </w:rPr>
        <w:t xml:space="preserve"> thiện hồ sơ trình Sở Nội vụ và Sở Tài chính thẩm định hồ sơ thực hiện chế độ, chính sách đối với 71 cán bộ, công chức, viên chức, người lao động nghỉ hưu trước tuổi và thôi việc do sắp xếp tổ chức bộ máy (cấp huyện và cấp xã).</w:t>
      </w:r>
    </w:p>
    <w:p w:rsidR="00167369" w:rsidRPr="00167369" w:rsidRDefault="00510772" w:rsidP="00D60A0B">
      <w:pPr>
        <w:spacing w:before="120" w:after="0" w:line="240" w:lineRule="auto"/>
        <w:ind w:firstLine="720"/>
        <w:jc w:val="both"/>
        <w:rPr>
          <w:rFonts w:ascii="Times New Roman" w:eastAsia="Calibri" w:hAnsi="Times New Roman" w:cs="Times New Roman"/>
          <w:i/>
          <w:sz w:val="28"/>
          <w:szCs w:val="28"/>
        </w:rPr>
      </w:pPr>
      <w:r>
        <w:rPr>
          <w:rStyle w:val="fontstyle21"/>
        </w:rPr>
        <w:t xml:space="preserve">Tuy nhiên, vẫn còn một số </w:t>
      </w:r>
      <w:r w:rsidR="00167369">
        <w:rPr>
          <w:rStyle w:val="fontstyle21"/>
        </w:rPr>
        <w:t>tồn tại</w:t>
      </w:r>
      <w:r>
        <w:rPr>
          <w:rStyle w:val="fontstyle21"/>
        </w:rPr>
        <w:t xml:space="preserve">, hạn chế như: </w:t>
      </w:r>
      <w:r w:rsidR="00167369" w:rsidRPr="00167369">
        <w:rPr>
          <w:rFonts w:ascii="Times New Roman" w:eastAsia="Calibri" w:hAnsi="Times New Roman" w:cs="Times New Roman"/>
          <w:sz w:val="28"/>
          <w:szCs w:val="28"/>
          <w:shd w:val="clear" w:color="auto" w:fill="FFFFFF"/>
          <w:lang w:val="sv-SE"/>
        </w:rPr>
        <w:t xml:space="preserve">Theo kết quả </w:t>
      </w:r>
      <w:r w:rsidR="00167369" w:rsidRPr="00167369">
        <w:rPr>
          <w:rFonts w:ascii="Times New Roman" w:eastAsia="Calibri" w:hAnsi="Times New Roman" w:cs="Times New Roman"/>
          <w:iCs/>
          <w:sz w:val="28"/>
          <w:szCs w:val="28"/>
          <w:lang w:val="sv-SE"/>
        </w:rPr>
        <w:t>Hệ thống thông tin giải quyết TTHC tỉnh Phú Yên</w:t>
      </w:r>
      <w:r w:rsidR="00167369" w:rsidRPr="00167369">
        <w:rPr>
          <w:rFonts w:ascii="Times New Roman" w:eastAsia="Calibri" w:hAnsi="Times New Roman" w:cs="Times New Roman"/>
          <w:sz w:val="28"/>
          <w:szCs w:val="28"/>
          <w:shd w:val="clear" w:color="auto" w:fill="FFFFFF"/>
          <w:lang w:val="sv-SE"/>
        </w:rPr>
        <w:t>: vẫn còn địa phương để hồ sơ giải quyết TTHC quá hạn, cụ thể, hồ sơ đã xử lý quá hạ</w:t>
      </w:r>
      <w:r w:rsidR="00AB1C36">
        <w:rPr>
          <w:rFonts w:ascii="Times New Roman" w:eastAsia="Calibri" w:hAnsi="Times New Roman" w:cs="Times New Roman"/>
          <w:sz w:val="28"/>
          <w:szCs w:val="28"/>
          <w:shd w:val="clear" w:color="auto" w:fill="FFFFFF"/>
          <w:lang w:val="sv-SE"/>
        </w:rPr>
        <w:t xml:space="preserve">n là </w:t>
      </w:r>
      <w:r w:rsidR="00167369" w:rsidRPr="00167369">
        <w:rPr>
          <w:rFonts w:ascii="Times New Roman" w:eastAsia="Calibri" w:hAnsi="Times New Roman" w:cs="Times New Roman"/>
          <w:spacing w:val="-6"/>
          <w:sz w:val="28"/>
          <w:szCs w:val="28"/>
          <w:lang w:val="sv-SE"/>
        </w:rPr>
        <w:t>02 hồ sơ (xã Hòa Trị: 01 hồ sơ; xã Hòa Quang Nam: 01 hồ sơ)</w:t>
      </w:r>
      <w:r w:rsidR="00167369" w:rsidRPr="00167369">
        <w:rPr>
          <w:rFonts w:ascii="Times New Roman" w:eastAsia="Calibri" w:hAnsi="Times New Roman" w:cs="Times New Roman"/>
          <w:i/>
          <w:spacing w:val="-6"/>
          <w:sz w:val="28"/>
          <w:szCs w:val="28"/>
          <w:lang w:val="sv-SE"/>
        </w:rPr>
        <w:t>;</w:t>
      </w:r>
      <w:r w:rsidR="00167369" w:rsidRPr="00167369">
        <w:rPr>
          <w:rFonts w:ascii="Times New Roman" w:eastAsia="Calibri" w:hAnsi="Times New Roman" w:cs="Times New Roman"/>
          <w:iCs/>
          <w:spacing w:val="-6"/>
          <w:sz w:val="28"/>
          <w:szCs w:val="28"/>
          <w:lang w:val="sv-SE"/>
        </w:rPr>
        <w:t xml:space="preserve"> </w:t>
      </w:r>
      <w:r w:rsidR="00167369" w:rsidRPr="00167369">
        <w:rPr>
          <w:rFonts w:ascii="Times New Roman" w:eastAsia="Calibri" w:hAnsi="Times New Roman" w:cs="Times New Roman"/>
          <w:sz w:val="28"/>
          <w:szCs w:val="28"/>
          <w:lang w:val="vi-VN"/>
        </w:rPr>
        <w:t xml:space="preserve">tỷ lệ số hóa kết quả </w:t>
      </w:r>
      <w:r w:rsidR="00167369" w:rsidRPr="00167369">
        <w:rPr>
          <w:rFonts w:ascii="Times New Roman" w:eastAsia="Calibri" w:hAnsi="Times New Roman" w:cs="Times New Roman"/>
          <w:sz w:val="28"/>
          <w:szCs w:val="28"/>
        </w:rPr>
        <w:t xml:space="preserve">giải quyết TTHC </w:t>
      </w:r>
      <w:r w:rsidR="00167369" w:rsidRPr="00167369">
        <w:rPr>
          <w:rFonts w:ascii="Times New Roman" w:eastAsia="Calibri" w:hAnsi="Times New Roman" w:cs="Times New Roman"/>
          <w:sz w:val="28"/>
          <w:szCs w:val="28"/>
          <w:lang w:val="vi-VN"/>
        </w:rPr>
        <w:t xml:space="preserve">của huyện </w:t>
      </w:r>
      <w:r w:rsidR="00167369" w:rsidRPr="00167369">
        <w:rPr>
          <w:rFonts w:ascii="Times New Roman" w:eastAsia="Calibri" w:hAnsi="Times New Roman" w:cs="Times New Roman"/>
          <w:sz w:val="28"/>
          <w:szCs w:val="28"/>
        </w:rPr>
        <w:t xml:space="preserve">Phú Hòa là 71,43%, chưa đạt chỉ tiêu đề ra </w:t>
      </w:r>
      <w:r w:rsidR="00167369" w:rsidRPr="00167369">
        <w:rPr>
          <w:rFonts w:ascii="Times New Roman" w:eastAsia="Calibri" w:hAnsi="Times New Roman" w:cs="Times New Roman"/>
          <w:i/>
          <w:sz w:val="28"/>
          <w:szCs w:val="28"/>
        </w:rPr>
        <w:t>(chỉ tiêu tối thiểu 80%).</w:t>
      </w:r>
    </w:p>
    <w:p w:rsidR="004A1D5D" w:rsidRDefault="00167369" w:rsidP="00D60A0B">
      <w:pPr>
        <w:spacing w:before="120" w:after="0" w:line="240" w:lineRule="auto"/>
        <w:ind w:firstLine="720"/>
        <w:jc w:val="both"/>
      </w:pPr>
      <w:r>
        <w:rPr>
          <w:rStyle w:val="fontstyle31"/>
        </w:rPr>
        <w:t xml:space="preserve"> </w:t>
      </w:r>
      <w:bookmarkStart w:id="0" w:name="_GoBack"/>
      <w:bookmarkEnd w:id="0"/>
    </w:p>
    <w:sectPr w:rsidR="004A1D5D" w:rsidSect="008A7E20">
      <w:pgSz w:w="12240" w:h="15840"/>
      <w:pgMar w:top="1440" w:right="1183" w:bottom="1440"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5170" w:rsidRDefault="00215170" w:rsidP="00D60A0B">
      <w:pPr>
        <w:spacing w:after="0" w:line="240" w:lineRule="auto"/>
      </w:pPr>
      <w:r>
        <w:separator/>
      </w:r>
    </w:p>
  </w:endnote>
  <w:endnote w:type="continuationSeparator" w:id="0">
    <w:p w:rsidR="00215170" w:rsidRDefault="00215170" w:rsidP="00D60A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5170" w:rsidRDefault="00215170" w:rsidP="00D60A0B">
      <w:pPr>
        <w:spacing w:after="0" w:line="240" w:lineRule="auto"/>
      </w:pPr>
      <w:r>
        <w:separator/>
      </w:r>
    </w:p>
  </w:footnote>
  <w:footnote w:type="continuationSeparator" w:id="0">
    <w:p w:rsidR="00215170" w:rsidRDefault="00215170" w:rsidP="00D60A0B">
      <w:pPr>
        <w:spacing w:after="0" w:line="240" w:lineRule="auto"/>
      </w:pPr>
      <w:r>
        <w:continuationSeparator/>
      </w:r>
    </w:p>
  </w:footnote>
  <w:footnote w:id="1">
    <w:p w:rsidR="00D60A0B" w:rsidRPr="00091E56" w:rsidRDefault="00D60A0B" w:rsidP="00D60A0B">
      <w:pPr>
        <w:pStyle w:val="FootnoteText"/>
        <w:ind w:firstLine="720"/>
        <w:jc w:val="both"/>
        <w:rPr>
          <w:rStyle w:val="fontstyle01"/>
          <w:sz w:val="24"/>
          <w:szCs w:val="24"/>
        </w:rPr>
      </w:pPr>
      <w:r w:rsidRPr="00091E56">
        <w:rPr>
          <w:rStyle w:val="FootnoteReference"/>
          <w:sz w:val="24"/>
          <w:szCs w:val="24"/>
        </w:rPr>
        <w:footnoteRef/>
      </w:r>
      <w:r w:rsidRPr="00091E56">
        <w:rPr>
          <w:sz w:val="24"/>
          <w:szCs w:val="24"/>
        </w:rPr>
        <w:t xml:space="preserve"> </w:t>
      </w:r>
      <w:r w:rsidRPr="00091E56">
        <w:rPr>
          <w:rStyle w:val="Bodytext"/>
          <w:sz w:val="24"/>
          <w:szCs w:val="24"/>
          <w:lang w:eastAsia="vi-VN"/>
        </w:rPr>
        <w:t>Công văn số 728/UBND-NV ngày 02/4/2025 về việc tập trung thực hiện các nhiệm vụ, giải pháp trọng tâm trong cắt giảm thủ tục hành chính, cải thiện môi trường đầu tư kinh doanh, thúc đẩy phát triển kinh tế- xã hội; Công văn số 990/UBND-NV ngày 16/4/2025 về việc triển khai Thông báo số 03/TB-BCĐCCHC ngày 14/4/2025 của BCĐ cải cách hành chính, cải thiện mô</w:t>
      </w:r>
      <w:r>
        <w:rPr>
          <w:rStyle w:val="Bodytext"/>
          <w:sz w:val="24"/>
          <w:szCs w:val="24"/>
          <w:lang w:eastAsia="vi-VN"/>
        </w:rPr>
        <w:t>i trường đầu tư kinh doanh tỉnh; Công văn số 1023/UBND-NV ngày 21/4/2025 về việc triển khai thực hiện Công văn số 2541/UBND-NC ngày 16/4/2025 của UBND tỉnh.</w:t>
      </w:r>
    </w:p>
    <w:p w:rsidR="00D60A0B" w:rsidRPr="0044763A" w:rsidRDefault="00D60A0B" w:rsidP="00D60A0B">
      <w:pPr>
        <w:pStyle w:val="FootnoteText"/>
        <w:ind w:firstLine="720"/>
        <w:jc w:val="both"/>
        <w:rPr>
          <w:rFonts w:ascii="Symbol" w:hAnsi="Symbol"/>
          <w:u w:val="double"/>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772"/>
    <w:rsid w:val="00167369"/>
    <w:rsid w:val="00215170"/>
    <w:rsid w:val="004949E3"/>
    <w:rsid w:val="004A1D5D"/>
    <w:rsid w:val="00506EDD"/>
    <w:rsid w:val="00510772"/>
    <w:rsid w:val="00721111"/>
    <w:rsid w:val="00807AC0"/>
    <w:rsid w:val="008A7E20"/>
    <w:rsid w:val="009F3EDC"/>
    <w:rsid w:val="00AB1C36"/>
    <w:rsid w:val="00D60A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59319"/>
  <w15:chartTrackingRefBased/>
  <w15:docId w15:val="{4DD9B7B4-C268-4F7F-B0E5-19EA6150B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510772"/>
    <w:rPr>
      <w:rFonts w:ascii="Times New Roman" w:hAnsi="Times New Roman" w:cs="Times New Roman" w:hint="default"/>
      <w:b/>
      <w:bCs/>
      <w:i w:val="0"/>
      <w:iCs w:val="0"/>
      <w:color w:val="000000"/>
      <w:sz w:val="28"/>
      <w:szCs w:val="28"/>
    </w:rPr>
  </w:style>
  <w:style w:type="character" w:customStyle="1" w:styleId="fontstyle21">
    <w:name w:val="fontstyle21"/>
    <w:basedOn w:val="DefaultParagraphFont"/>
    <w:rsid w:val="00510772"/>
    <w:rPr>
      <w:rFonts w:ascii="Times New Roman" w:hAnsi="Times New Roman" w:cs="Times New Roman" w:hint="default"/>
      <w:b w:val="0"/>
      <w:bCs w:val="0"/>
      <w:i w:val="0"/>
      <w:iCs w:val="0"/>
      <w:color w:val="000000"/>
      <w:sz w:val="28"/>
      <w:szCs w:val="28"/>
    </w:rPr>
  </w:style>
  <w:style w:type="character" w:customStyle="1" w:styleId="fontstyle31">
    <w:name w:val="fontstyle31"/>
    <w:basedOn w:val="DefaultParagraphFont"/>
    <w:rsid w:val="00510772"/>
    <w:rPr>
      <w:rFonts w:ascii="Times New Roman" w:hAnsi="Times New Roman" w:cs="Times New Roman" w:hint="default"/>
      <w:b w:val="0"/>
      <w:bCs w:val="0"/>
      <w:i/>
      <w:iCs/>
      <w:color w:val="000000"/>
      <w:sz w:val="28"/>
      <w:szCs w:val="28"/>
    </w:rPr>
  </w:style>
  <w:style w:type="paragraph" w:styleId="Header">
    <w:name w:val="header"/>
    <w:basedOn w:val="Normal"/>
    <w:link w:val="HeaderChar"/>
    <w:uiPriority w:val="99"/>
    <w:semiHidden/>
    <w:unhideWhenUsed/>
    <w:rsid w:val="0016736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67369"/>
  </w:style>
  <w:style w:type="paragraph" w:styleId="FootnoteText">
    <w:name w:val="footnote text"/>
    <w:aliases w:val="Footnote Text Char Char Char Char Char,Footnote Text Char Char Char Char Char Char Ch Char,Footnote Text Char Char Char Char Char Char Ch Char Char Char,ARM footnote Text,Footnote Text Char2,Cha,foot,fn,single space,Footnote Text Char1"/>
    <w:basedOn w:val="Normal"/>
    <w:link w:val="FootnoteTextChar"/>
    <w:uiPriority w:val="99"/>
    <w:qFormat/>
    <w:rsid w:val="00D60A0B"/>
    <w:pPr>
      <w:spacing w:after="0" w:line="240" w:lineRule="auto"/>
    </w:pPr>
    <w:rPr>
      <w:rFonts w:ascii="Times New Roman" w:eastAsia="Times New Roman" w:hAnsi="Times New Roman" w:cs="Times New Roman"/>
      <w:sz w:val="20"/>
      <w:szCs w:val="20"/>
      <w:lang w:val="en-SG" w:eastAsia="en-SG"/>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ARM footnote Text Char,Footnote Text Char2 Char,Cha Char,foot Char"/>
    <w:basedOn w:val="DefaultParagraphFont"/>
    <w:link w:val="FootnoteText"/>
    <w:uiPriority w:val="99"/>
    <w:qFormat/>
    <w:rsid w:val="00D60A0B"/>
    <w:rPr>
      <w:rFonts w:ascii="Times New Roman" w:eastAsia="Times New Roman" w:hAnsi="Times New Roman" w:cs="Times New Roman"/>
      <w:sz w:val="20"/>
      <w:szCs w:val="20"/>
      <w:lang w:val="en-SG" w:eastAsia="en-SG"/>
    </w:rPr>
  </w:style>
  <w:style w:type="character" w:styleId="FootnoteReference">
    <w:name w:val="footnote reference"/>
    <w:aliases w:val="Footnote text,Ref,de nota al pie,ftref,Footnote text + 13 pt,Footnote Text1,BearingPoint,16 Point,Superscript 6 Point,fr,Footnote + Arial,4_,f1,(NECG) Footnote Reference,BVI fnr,footnote ref,Footnot,Footnote,f,10 pt,Black,SUPERS,R,4"/>
    <w:link w:val="FootnoteText111"/>
    <w:qFormat/>
    <w:rsid w:val="00D60A0B"/>
    <w:rPr>
      <w:vertAlign w:val="superscript"/>
    </w:rPr>
  </w:style>
  <w:style w:type="character" w:customStyle="1" w:styleId="Bodytext">
    <w:name w:val="Body text_"/>
    <w:link w:val="BodyText1"/>
    <w:locked/>
    <w:rsid w:val="00D60A0B"/>
    <w:rPr>
      <w:sz w:val="26"/>
      <w:szCs w:val="26"/>
      <w:shd w:val="clear" w:color="auto" w:fill="FFFFFF"/>
    </w:rPr>
  </w:style>
  <w:style w:type="paragraph" w:customStyle="1" w:styleId="BodyText1">
    <w:name w:val="Body Text1"/>
    <w:basedOn w:val="Normal"/>
    <w:link w:val="Bodytext"/>
    <w:rsid w:val="00D60A0B"/>
    <w:pPr>
      <w:widowControl w:val="0"/>
      <w:shd w:val="clear" w:color="auto" w:fill="FFFFFF"/>
      <w:spacing w:before="420" w:after="0" w:line="331" w:lineRule="exact"/>
      <w:jc w:val="both"/>
    </w:pPr>
    <w:rPr>
      <w:sz w:val="26"/>
      <w:szCs w:val="26"/>
    </w:rPr>
  </w:style>
  <w:style w:type="paragraph" w:customStyle="1" w:styleId="FootnoteText111">
    <w:name w:val="Footnote Text111"/>
    <w:aliases w:val="BVI,B, BVI f,BVI f"/>
    <w:basedOn w:val="Normal"/>
    <w:link w:val="FootnoteReference"/>
    <w:rsid w:val="00D60A0B"/>
    <w:pPr>
      <w:spacing w:line="240" w:lineRule="exact"/>
    </w:pPr>
    <w:rPr>
      <w:vertAlign w:val="superscript"/>
    </w:rPr>
  </w:style>
  <w:style w:type="character" w:styleId="PageNumber">
    <w:name w:val="page number"/>
    <w:basedOn w:val="DefaultParagraphFont"/>
    <w:rsid w:val="00D60A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5460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2</Pages>
  <Words>387</Words>
  <Characters>2212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WIN10</dc:creator>
  <cp:keywords/>
  <dc:description/>
  <cp:lastModifiedBy>WIN10</cp:lastModifiedBy>
  <cp:revision>73</cp:revision>
  <dcterms:created xsi:type="dcterms:W3CDTF">2025-05-06T03:00:00Z</dcterms:created>
  <dcterms:modified xsi:type="dcterms:W3CDTF">2025-05-06T07:00:00Z</dcterms:modified>
</cp:coreProperties>
</file>